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AF0" w:rsidRPr="00661AF0" w:rsidRDefault="00661AF0" w:rsidP="00661AF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661AF0">
        <w:rPr>
          <w:b/>
          <w:bCs/>
          <w:color w:val="333333"/>
          <w:sz w:val="28"/>
          <w:szCs w:val="28"/>
        </w:rPr>
        <w:t xml:space="preserve">Отдыхающие обязаны соблюдать требования законодательства об </w:t>
      </w:r>
      <w:bookmarkStart w:id="0" w:name="_GoBack"/>
      <w:r w:rsidRPr="00661AF0">
        <w:rPr>
          <w:b/>
          <w:bCs/>
          <w:color w:val="333333"/>
          <w:sz w:val="28"/>
          <w:szCs w:val="28"/>
        </w:rPr>
        <w:t>охране водных объектов</w:t>
      </w:r>
      <w:bookmarkEnd w:id="0"/>
      <w:r w:rsidRPr="00661AF0">
        <w:rPr>
          <w:b/>
          <w:bCs/>
          <w:color w:val="333333"/>
          <w:sz w:val="28"/>
          <w:szCs w:val="28"/>
        </w:rPr>
        <w:t xml:space="preserve">. </w:t>
      </w:r>
    </w:p>
    <w:p w:rsidR="00661AF0" w:rsidRPr="00661AF0" w:rsidRDefault="00661AF0" w:rsidP="00661AF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 (ст. 65 Водного кодекса РФ).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Ширина водоохранной зоны рек или ручьёв устанавливается от их истока: протяжённостью до 10 км в размере 50 м, от 10 до 50 км - 100 м, от 50 км и более - 200 м.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В границах водоохранных зон запрещаются осуществление мойки автотранспортных средств, движение и стоянка транспортных средств (кроме специальных транспортных средств), за исключением их движения по дорогам и стоянки на дорогах, в специально оборудованных местах, имеющих твёрдое покрытие.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При мытье машин со сточными водами на землю, водосборные площади, в водные объекты поступают нефтепродукты, а при использовании моющих средств - синтетические вещества, растворы солей, что грозит загрязнением, засорением, заилением и истощением водоёмов. Ещё большую опасность представляет нахождение автотранспорта непосредственно в водном объекте.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На основании части 1 статьи 8.42 Кодекса Российской Федерации об административных правонарушениях использование прибрежной защитной полосы и водоохранной зоны водных объектов с нарушением ограничений хозяйственной и иной деятельности, влечёт наложение административного штрафа на граждан в размере от 3 до 4,5 тыс. руб., на должностных лиц - от 8 до 12 тыс. руб., на юридических лиц - от 200 до 400 тыс. рублей.</w:t>
      </w:r>
    </w:p>
    <w:p w:rsidR="00C666EB" w:rsidRPr="009F46BC" w:rsidRDefault="00C666EB" w:rsidP="009F46B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24E0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2021-06-16T06:26:00Z</cp:lastPrinted>
  <dcterms:created xsi:type="dcterms:W3CDTF">2021-06-16T06:26:00Z</dcterms:created>
  <dcterms:modified xsi:type="dcterms:W3CDTF">2021-06-16T06:26:00Z</dcterms:modified>
</cp:coreProperties>
</file>